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64" w:rsidRPr="00416A1D" w:rsidRDefault="00E10E64" w:rsidP="00E10E64">
      <w:pPr>
        <w:rPr>
          <w:rFonts w:ascii="Times New Roman" w:hAnsi="Times New Roman"/>
          <w:bCs/>
          <w:sz w:val="24"/>
          <w:szCs w:val="24"/>
          <w:lang w:val="en-GB"/>
        </w:rPr>
      </w:pPr>
      <w:r w:rsidRPr="00416A1D">
        <w:rPr>
          <w:rFonts w:ascii="Times New Roman" w:hAnsi="Times New Roman"/>
          <w:b/>
          <w:bCs/>
          <w:sz w:val="24"/>
          <w:szCs w:val="24"/>
          <w:lang w:val="en-GB"/>
        </w:rPr>
        <w:t xml:space="preserve">Alessandra </w:t>
      </w:r>
      <w:proofErr w:type="spellStart"/>
      <w:r w:rsidRPr="00416A1D">
        <w:rPr>
          <w:rFonts w:ascii="Times New Roman" w:hAnsi="Times New Roman"/>
          <w:b/>
          <w:bCs/>
          <w:sz w:val="24"/>
          <w:szCs w:val="24"/>
          <w:lang w:val="en-GB"/>
        </w:rPr>
        <w:t>Petrina</w:t>
      </w:r>
      <w:proofErr w:type="spellEnd"/>
      <w:r w:rsidRPr="00416A1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E10E64" w:rsidRDefault="00E10E64" w:rsidP="00E10E64">
      <w:pPr>
        <w:rPr>
          <w:rFonts w:ascii="Times New Roman" w:hAnsi="Times New Roman"/>
          <w:sz w:val="24"/>
          <w:szCs w:val="24"/>
          <w:lang w:val="en-US"/>
        </w:rPr>
      </w:pPr>
      <w:r w:rsidRPr="002B558F">
        <w:rPr>
          <w:rFonts w:ascii="Times New Roman" w:hAnsi="Times New Roman"/>
          <w:i/>
          <w:sz w:val="24"/>
          <w:szCs w:val="24"/>
          <w:lang w:val="en-US"/>
        </w:rPr>
        <w:t>Machiavelli in the British Isles. Two Early Modern Translations of The Prince</w:t>
      </w:r>
      <w:r w:rsidRPr="002B558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Farnham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Ashgate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>, 2009.</w:t>
      </w:r>
    </w:p>
    <w:p w:rsidR="00E10E64" w:rsidRPr="00416A1D" w:rsidRDefault="00E10E64" w:rsidP="00E10E64">
      <w:pPr>
        <w:rPr>
          <w:rFonts w:ascii="Times New Roman" w:hAnsi="Times New Roman"/>
          <w:bCs/>
          <w:sz w:val="24"/>
          <w:szCs w:val="24"/>
          <w:lang w:val="en-GB"/>
        </w:rPr>
      </w:pPr>
    </w:p>
    <w:p w:rsidR="00E10E64" w:rsidRPr="00416A1D" w:rsidRDefault="00E10E64" w:rsidP="00E10E64">
      <w:pPr>
        <w:rPr>
          <w:rFonts w:ascii="Times New Roman" w:hAnsi="Times New Roman"/>
          <w:bCs/>
          <w:sz w:val="24"/>
          <w:szCs w:val="24"/>
          <w:lang w:val="en-GB"/>
        </w:rPr>
      </w:pPr>
      <w:r w:rsidRPr="00416A1D">
        <w:rPr>
          <w:rFonts w:ascii="Times New Roman" w:hAnsi="Times New Roman"/>
          <w:bCs/>
          <w:sz w:val="24"/>
          <w:szCs w:val="24"/>
          <w:lang w:val="en-GB"/>
        </w:rPr>
        <w:t xml:space="preserve">ed., </w:t>
      </w:r>
      <w:r w:rsidRPr="00416A1D">
        <w:rPr>
          <w:rFonts w:ascii="Times New Roman" w:hAnsi="Times New Roman"/>
          <w:bCs/>
          <w:i/>
          <w:sz w:val="24"/>
          <w:szCs w:val="24"/>
          <w:lang w:val="en-GB"/>
        </w:rPr>
        <w:t>Queen and Country. The Relation between the Monarch and the People in the Development of the English Nation</w:t>
      </w:r>
      <w:r w:rsidRPr="00416A1D">
        <w:rPr>
          <w:rFonts w:ascii="Times New Roman" w:hAnsi="Times New Roman"/>
          <w:bCs/>
          <w:sz w:val="24"/>
          <w:szCs w:val="24"/>
          <w:lang w:val="en-GB"/>
        </w:rPr>
        <w:t>, Bern: Peter Lang, 2011.</w:t>
      </w:r>
    </w:p>
    <w:p w:rsidR="00E10E64" w:rsidRPr="00416A1D" w:rsidRDefault="00E10E64" w:rsidP="00E10E64">
      <w:pPr>
        <w:rPr>
          <w:rFonts w:ascii="Times New Roman" w:hAnsi="Times New Roman"/>
          <w:bCs/>
          <w:sz w:val="24"/>
          <w:szCs w:val="24"/>
          <w:lang w:val="en-GB"/>
        </w:rPr>
      </w:pPr>
    </w:p>
    <w:p w:rsidR="00E10E64" w:rsidRDefault="00E10E64" w:rsidP="00E10E64">
      <w:pPr>
        <w:rPr>
          <w:rFonts w:ascii="Times New Roman" w:hAnsi="Times New Roman"/>
          <w:sz w:val="24"/>
          <w:szCs w:val="24"/>
          <w:lang w:val="en-US"/>
        </w:rPr>
      </w:pPr>
      <w:r w:rsidRPr="00416A1D">
        <w:rPr>
          <w:rFonts w:ascii="Times New Roman" w:hAnsi="Times New Roman"/>
          <w:bCs/>
          <w:sz w:val="24"/>
          <w:szCs w:val="24"/>
          <w:lang w:val="en-GB"/>
        </w:rPr>
        <w:t xml:space="preserve">with Laura </w:t>
      </w:r>
      <w:proofErr w:type="spellStart"/>
      <w:r w:rsidRPr="00416A1D">
        <w:rPr>
          <w:rFonts w:ascii="Times New Roman" w:hAnsi="Times New Roman"/>
          <w:bCs/>
          <w:sz w:val="24"/>
          <w:szCs w:val="24"/>
          <w:lang w:val="en-GB"/>
        </w:rPr>
        <w:t>Tosi</w:t>
      </w:r>
      <w:proofErr w:type="spellEnd"/>
      <w:r w:rsidRPr="00416A1D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416A1D">
        <w:rPr>
          <w:rFonts w:ascii="Times New Roman" w:hAnsi="Times New Roman"/>
          <w:bCs/>
          <w:sz w:val="24"/>
          <w:szCs w:val="24"/>
          <w:lang w:val="en-GB"/>
        </w:rPr>
        <w:t>eds</w:t>
      </w:r>
      <w:proofErr w:type="spellEnd"/>
      <w:r w:rsidRPr="00416A1D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Pr="00416A1D">
        <w:rPr>
          <w:rFonts w:ascii="Times New Roman" w:hAnsi="Times New Roman"/>
          <w:bCs/>
          <w:i/>
          <w:sz w:val="24"/>
          <w:szCs w:val="24"/>
          <w:lang w:val="en-GB"/>
        </w:rPr>
        <w:t>Representation of Elizabeth I in Early Modern Culture</w:t>
      </w:r>
      <w:r w:rsidRPr="00416A1D">
        <w:rPr>
          <w:rFonts w:ascii="Times New Roman" w:hAnsi="Times New Roman"/>
          <w:bCs/>
          <w:sz w:val="24"/>
          <w:szCs w:val="24"/>
          <w:lang w:val="en-GB"/>
        </w:rPr>
        <w:t>, Basingstoke: Palgrave Macmillan, 2011.</w:t>
      </w:r>
      <w:r w:rsidRPr="00017B2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10E64" w:rsidRDefault="00E10E64" w:rsidP="00E10E64">
      <w:pPr>
        <w:rPr>
          <w:rFonts w:ascii="Times New Roman" w:hAnsi="Times New Roman"/>
          <w:sz w:val="24"/>
          <w:szCs w:val="24"/>
          <w:lang w:val="en-US"/>
        </w:rPr>
      </w:pPr>
    </w:p>
    <w:p w:rsidR="00E10E64" w:rsidRPr="00017B25" w:rsidRDefault="00E10E64" w:rsidP="00E10E64">
      <w:pPr>
        <w:rPr>
          <w:rFonts w:ascii="Times New Roman" w:hAnsi="Times New Roman"/>
          <w:sz w:val="24"/>
          <w:szCs w:val="24"/>
          <w:lang w:val="en-US"/>
        </w:rPr>
      </w:pPr>
      <w:r w:rsidRPr="00017B25">
        <w:rPr>
          <w:rFonts w:ascii="Times New Roman" w:hAnsi="Times New Roman"/>
          <w:sz w:val="24"/>
          <w:szCs w:val="24"/>
          <w:lang w:val="en-US"/>
        </w:rPr>
        <w:t xml:space="preserve">“Walter Scott of </w:t>
      </w:r>
      <w:proofErr w:type="spellStart"/>
      <w:r w:rsidRPr="00017B25">
        <w:rPr>
          <w:rFonts w:ascii="Times New Roman" w:hAnsi="Times New Roman"/>
          <w:sz w:val="24"/>
          <w:szCs w:val="24"/>
          <w:lang w:val="en-US"/>
        </w:rPr>
        <w:t>Buccleuch</w:t>
      </w:r>
      <w:proofErr w:type="spellEnd"/>
      <w:r w:rsidRPr="00017B25">
        <w:rPr>
          <w:rFonts w:ascii="Times New Roman" w:hAnsi="Times New Roman"/>
          <w:sz w:val="24"/>
          <w:szCs w:val="24"/>
          <w:lang w:val="en-US"/>
        </w:rPr>
        <w:t xml:space="preserve">, Italian Poet?”, </w:t>
      </w:r>
      <w:r w:rsidRPr="00017B25">
        <w:rPr>
          <w:rFonts w:ascii="Times New Roman" w:hAnsi="Times New Roman"/>
          <w:i/>
          <w:sz w:val="24"/>
          <w:szCs w:val="24"/>
          <w:lang w:val="en-US"/>
        </w:rPr>
        <w:t>Renaissance Studies</w:t>
      </w:r>
      <w:r w:rsidRPr="00017B25">
        <w:rPr>
          <w:rFonts w:ascii="Times New Roman" w:hAnsi="Times New Roman"/>
          <w:sz w:val="24"/>
          <w:szCs w:val="24"/>
          <w:lang w:val="en-US"/>
        </w:rPr>
        <w:t xml:space="preserve"> 24, 2010, pp. 671-693, ISSN: 0269-1213, </w:t>
      </w:r>
      <w:proofErr w:type="spellStart"/>
      <w:r w:rsidRPr="00017B2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017B25">
        <w:rPr>
          <w:rFonts w:ascii="Times New Roman" w:hAnsi="Times New Roman"/>
          <w:sz w:val="24"/>
          <w:szCs w:val="24"/>
          <w:lang w:val="en-US"/>
        </w:rPr>
        <w:t xml:space="preserve">: 10.1111/j.1477-4658.2010.00646.x </w:t>
      </w:r>
    </w:p>
    <w:p w:rsidR="00E10E64" w:rsidRPr="00017B25" w:rsidRDefault="00E10E64" w:rsidP="00E10E64">
      <w:pPr>
        <w:rPr>
          <w:rFonts w:ascii="Times New Roman" w:hAnsi="Times New Roman"/>
          <w:sz w:val="24"/>
          <w:szCs w:val="24"/>
          <w:lang w:val="en-US"/>
        </w:rPr>
      </w:pPr>
    </w:p>
    <w:p w:rsidR="00E10E64" w:rsidRPr="00416A1D" w:rsidRDefault="00E10E64" w:rsidP="00E10E64">
      <w:pPr>
        <w:rPr>
          <w:rFonts w:ascii="Times New Roman" w:hAnsi="Times New Roman"/>
          <w:sz w:val="24"/>
          <w:szCs w:val="24"/>
        </w:rPr>
      </w:pPr>
      <w:r w:rsidRPr="00017B25">
        <w:rPr>
          <w:rFonts w:ascii="Times New Roman" w:hAnsi="Times New Roman"/>
          <w:sz w:val="24"/>
          <w:szCs w:val="24"/>
          <w:lang w:val="en-US"/>
        </w:rPr>
        <w:t xml:space="preserve"> “A Florentine Prince in Queen Elizabeth’s Court”, in </w:t>
      </w:r>
      <w:r w:rsidRPr="00017B25">
        <w:rPr>
          <w:rFonts w:ascii="Times New Roman" w:hAnsi="Times New Roman"/>
          <w:i/>
          <w:sz w:val="24"/>
          <w:szCs w:val="24"/>
          <w:lang w:val="en-US"/>
        </w:rPr>
        <w:t>The First Translations of Machiavelli’s Prince. From the Sixteenth to the First Half of the Nineteenth Century</w:t>
      </w:r>
      <w:r w:rsidRPr="00017B25">
        <w:rPr>
          <w:rFonts w:ascii="Times New Roman" w:hAnsi="Times New Roman"/>
          <w:sz w:val="24"/>
          <w:szCs w:val="24"/>
          <w:lang w:val="en-US"/>
        </w:rPr>
        <w:t xml:space="preserve">, ed. </w:t>
      </w:r>
      <w:r w:rsidRPr="00416A1D">
        <w:rPr>
          <w:rFonts w:ascii="Times New Roman" w:hAnsi="Times New Roman"/>
          <w:sz w:val="24"/>
          <w:szCs w:val="24"/>
        </w:rPr>
        <w:t xml:space="preserve">Roberto De </w:t>
      </w:r>
      <w:proofErr w:type="spellStart"/>
      <w:r w:rsidRPr="00416A1D">
        <w:rPr>
          <w:rFonts w:ascii="Times New Roman" w:hAnsi="Times New Roman"/>
          <w:sz w:val="24"/>
          <w:szCs w:val="24"/>
        </w:rPr>
        <w:t>Pol</w:t>
      </w:r>
      <w:proofErr w:type="spellEnd"/>
      <w:r w:rsidRPr="00416A1D">
        <w:rPr>
          <w:rFonts w:ascii="Times New Roman" w:hAnsi="Times New Roman"/>
          <w:sz w:val="24"/>
          <w:szCs w:val="24"/>
        </w:rPr>
        <w:t xml:space="preserve">, Amsterdam, New York: </w:t>
      </w:r>
      <w:proofErr w:type="spellStart"/>
      <w:r w:rsidRPr="00416A1D">
        <w:rPr>
          <w:rFonts w:ascii="Times New Roman" w:hAnsi="Times New Roman"/>
          <w:sz w:val="24"/>
          <w:szCs w:val="24"/>
        </w:rPr>
        <w:t>Rodopi</w:t>
      </w:r>
      <w:proofErr w:type="spellEnd"/>
      <w:r w:rsidRPr="00416A1D">
        <w:rPr>
          <w:rFonts w:ascii="Times New Roman" w:hAnsi="Times New Roman"/>
          <w:sz w:val="24"/>
          <w:szCs w:val="24"/>
        </w:rPr>
        <w:t>, 2010,</w:t>
      </w:r>
      <w:r w:rsidRPr="00017B25">
        <w:rPr>
          <w:rFonts w:ascii="Times New Roman" w:hAnsi="Times New Roman"/>
          <w:sz w:val="24"/>
          <w:szCs w:val="24"/>
        </w:rPr>
        <w:t xml:space="preserve"> pp.83-115,</w:t>
      </w:r>
      <w:r w:rsidRPr="00416A1D">
        <w:rPr>
          <w:rFonts w:ascii="Times New Roman" w:hAnsi="Times New Roman"/>
          <w:sz w:val="24"/>
          <w:szCs w:val="24"/>
        </w:rPr>
        <w:t xml:space="preserve"> ISBN 978-90-420-2962-0</w:t>
      </w:r>
    </w:p>
    <w:p w:rsidR="00E10E64" w:rsidRPr="00416A1D" w:rsidRDefault="00E10E64" w:rsidP="00E10E64">
      <w:pPr>
        <w:rPr>
          <w:rFonts w:ascii="Times New Roman" w:hAnsi="Times New Roman"/>
          <w:sz w:val="24"/>
          <w:szCs w:val="24"/>
        </w:rPr>
      </w:pPr>
    </w:p>
    <w:p w:rsidR="00E10E64" w:rsidRPr="002B558F" w:rsidRDefault="00E10E64" w:rsidP="00E10E64">
      <w:pPr>
        <w:rPr>
          <w:rFonts w:ascii="Times New Roman" w:hAnsi="Times New Roman"/>
          <w:sz w:val="24"/>
          <w:szCs w:val="24"/>
        </w:rPr>
      </w:pPr>
      <w:r w:rsidRPr="002B558F">
        <w:rPr>
          <w:rFonts w:ascii="Times New Roman" w:hAnsi="Times New Roman"/>
          <w:sz w:val="24"/>
          <w:szCs w:val="24"/>
        </w:rPr>
        <w:t xml:space="preserve">“Machiavellismo e conflitti religiosi in Inghilterra e Scozia nel XVI secolo”, in </w:t>
      </w:r>
      <w:r w:rsidRPr="002B558F">
        <w:rPr>
          <w:rFonts w:ascii="Times New Roman" w:hAnsi="Times New Roman"/>
          <w:i/>
          <w:sz w:val="24"/>
          <w:szCs w:val="24"/>
        </w:rPr>
        <w:t>Raccontare la storia. Realtà e finzione nella letteratura europea dal Rinascimento all'età contemporanea</w:t>
      </w:r>
      <w:r w:rsidRPr="002B558F">
        <w:rPr>
          <w:rFonts w:ascii="Times New Roman" w:hAnsi="Times New Roman"/>
          <w:sz w:val="24"/>
          <w:szCs w:val="24"/>
        </w:rPr>
        <w:t>, ed. Stefano Bronzini, Roma: Edizioni di Storia e Letteratura, 2009, pp. 23-32. ISBN/ISSN: 978-88-6372-112-6</w:t>
      </w:r>
    </w:p>
    <w:p w:rsidR="00E10E64" w:rsidRPr="002B558F" w:rsidRDefault="00E10E64" w:rsidP="00E10E64">
      <w:pPr>
        <w:rPr>
          <w:rFonts w:ascii="Times New Roman" w:hAnsi="Times New Roman"/>
          <w:sz w:val="24"/>
          <w:szCs w:val="24"/>
        </w:rPr>
      </w:pPr>
    </w:p>
    <w:p w:rsidR="00E10E64" w:rsidRPr="00416A1D" w:rsidRDefault="00E10E64" w:rsidP="00E10E64">
      <w:pPr>
        <w:rPr>
          <w:rFonts w:ascii="Times New Roman" w:hAnsi="Times New Roman"/>
          <w:sz w:val="24"/>
          <w:szCs w:val="24"/>
          <w:lang w:val="en-GB"/>
        </w:rPr>
      </w:pPr>
      <w:r w:rsidRPr="00416A1D">
        <w:rPr>
          <w:rFonts w:ascii="Times New Roman" w:hAnsi="Times New Roman"/>
          <w:bCs/>
          <w:sz w:val="24"/>
          <w:szCs w:val="24"/>
        </w:rPr>
        <w:t xml:space="preserve"> </w:t>
      </w:r>
      <w:r w:rsidRPr="002B558F">
        <w:rPr>
          <w:rFonts w:ascii="Times New Roman" w:hAnsi="Times New Roman"/>
          <w:bCs/>
          <w:sz w:val="24"/>
          <w:szCs w:val="24"/>
          <w:lang w:val="en-US"/>
        </w:rPr>
        <w:t xml:space="preserve">“Machiavelli Beyond the Channel: The First English Translations of </w:t>
      </w:r>
      <w:r w:rsidRPr="002B558F">
        <w:rPr>
          <w:rFonts w:ascii="Times New Roman" w:hAnsi="Times New Roman"/>
          <w:bCs/>
          <w:i/>
          <w:sz w:val="24"/>
          <w:szCs w:val="24"/>
          <w:lang w:val="en-US"/>
        </w:rPr>
        <w:t>The Prince</w:t>
      </w:r>
      <w:r w:rsidRPr="002B558F">
        <w:rPr>
          <w:rFonts w:ascii="Times New Roman" w:hAnsi="Times New Roman"/>
          <w:bCs/>
          <w:sz w:val="24"/>
          <w:szCs w:val="24"/>
          <w:lang w:val="en-US"/>
        </w:rPr>
        <w:t>”</w:t>
      </w:r>
      <w:r w:rsidRPr="002B558F">
        <w:rPr>
          <w:rFonts w:ascii="Times New Roman" w:hAnsi="Times New Roman"/>
          <w:sz w:val="24"/>
          <w:szCs w:val="24"/>
          <w:lang w:val="en-US"/>
        </w:rPr>
        <w:t xml:space="preserve">, in </w:t>
      </w:r>
      <w:r w:rsidRPr="002B558F">
        <w:rPr>
          <w:rFonts w:ascii="Times New Roman" w:hAnsi="Times New Roman"/>
          <w:i/>
          <w:iCs/>
          <w:sz w:val="24"/>
          <w:szCs w:val="24"/>
          <w:lang w:val="en-US"/>
        </w:rPr>
        <w:t xml:space="preserve">Anglo-American Faces of Machiavelli. </w:t>
      </w:r>
      <w:r w:rsidRPr="002B558F">
        <w:rPr>
          <w:rFonts w:ascii="Times New Roman" w:hAnsi="Times New Roman"/>
          <w:i/>
          <w:iCs/>
          <w:sz w:val="24"/>
          <w:szCs w:val="24"/>
        </w:rPr>
        <w:t>Machiavelli e machiavellismi nella cultura anglo-americana (secoli XVI-XX)</w:t>
      </w:r>
      <w:r w:rsidRPr="002B558F">
        <w:rPr>
          <w:rFonts w:ascii="Times New Roman" w:hAnsi="Times New Roman"/>
          <w:sz w:val="24"/>
          <w:szCs w:val="24"/>
        </w:rPr>
        <w:t xml:space="preserve">, ed. </w:t>
      </w:r>
      <w:r w:rsidRPr="00416A1D">
        <w:rPr>
          <w:rFonts w:ascii="Times New Roman" w:hAnsi="Times New Roman"/>
          <w:sz w:val="24"/>
          <w:szCs w:val="24"/>
          <w:lang w:val="en-GB"/>
        </w:rPr>
        <w:t xml:space="preserve">Alessandro </w:t>
      </w:r>
      <w:proofErr w:type="spellStart"/>
      <w:r w:rsidRPr="00416A1D">
        <w:rPr>
          <w:rFonts w:ascii="Times New Roman" w:hAnsi="Times New Roman"/>
          <w:sz w:val="24"/>
          <w:szCs w:val="24"/>
          <w:lang w:val="en-GB"/>
        </w:rPr>
        <w:t>Arienzo</w:t>
      </w:r>
      <w:proofErr w:type="spellEnd"/>
      <w:r w:rsidRPr="00416A1D">
        <w:rPr>
          <w:rFonts w:ascii="Times New Roman" w:hAnsi="Times New Roman"/>
          <w:sz w:val="24"/>
          <w:szCs w:val="24"/>
          <w:lang w:val="en-GB"/>
        </w:rPr>
        <w:t xml:space="preserve">, Gianfranco </w:t>
      </w:r>
      <w:proofErr w:type="spellStart"/>
      <w:r w:rsidRPr="00416A1D">
        <w:rPr>
          <w:rFonts w:ascii="Times New Roman" w:hAnsi="Times New Roman"/>
          <w:sz w:val="24"/>
          <w:szCs w:val="24"/>
          <w:lang w:val="en-GB"/>
        </w:rPr>
        <w:t>Borrelli</w:t>
      </w:r>
      <w:proofErr w:type="spellEnd"/>
      <w:r w:rsidRPr="00416A1D">
        <w:rPr>
          <w:rFonts w:ascii="Times New Roman" w:hAnsi="Times New Roman"/>
          <w:sz w:val="24"/>
          <w:szCs w:val="24"/>
          <w:lang w:val="en-GB"/>
        </w:rPr>
        <w:t xml:space="preserve">, Monza: </w:t>
      </w:r>
      <w:proofErr w:type="spellStart"/>
      <w:r w:rsidRPr="00416A1D">
        <w:rPr>
          <w:rFonts w:ascii="Times New Roman" w:hAnsi="Times New Roman"/>
          <w:sz w:val="24"/>
          <w:szCs w:val="24"/>
          <w:lang w:val="en-GB"/>
        </w:rPr>
        <w:t>Polimetrica</w:t>
      </w:r>
      <w:proofErr w:type="spellEnd"/>
      <w:r w:rsidRPr="00416A1D">
        <w:rPr>
          <w:rFonts w:ascii="Times New Roman" w:hAnsi="Times New Roman"/>
          <w:sz w:val="24"/>
          <w:szCs w:val="24"/>
          <w:lang w:val="en-GB"/>
        </w:rPr>
        <w:t>, 2009, pp. 51-74.</w:t>
      </w:r>
    </w:p>
    <w:p w:rsidR="00E10E64" w:rsidRPr="00416A1D" w:rsidRDefault="00E10E64" w:rsidP="00E10E64">
      <w:pPr>
        <w:rPr>
          <w:rFonts w:ascii="Times New Roman" w:hAnsi="Times New Roman"/>
          <w:sz w:val="24"/>
          <w:szCs w:val="24"/>
          <w:lang w:val="en-GB"/>
        </w:rPr>
      </w:pPr>
    </w:p>
    <w:p w:rsidR="00E10E64" w:rsidRPr="00416A1D" w:rsidRDefault="00E10E64" w:rsidP="00E10E64">
      <w:pPr>
        <w:rPr>
          <w:rFonts w:ascii="Times New Roman" w:hAnsi="Times New Roman"/>
          <w:sz w:val="24"/>
          <w:szCs w:val="24"/>
          <w:lang w:val="en-GB"/>
        </w:rPr>
      </w:pPr>
      <w:r w:rsidRPr="00416A1D">
        <w:rPr>
          <w:rFonts w:ascii="Times New Roman" w:hAnsi="Times New Roman"/>
          <w:sz w:val="24"/>
          <w:szCs w:val="24"/>
          <w:lang w:val="en-GB"/>
        </w:rPr>
        <w:t xml:space="preserve">“Translation and Ideology in the Scotland of James VI: The Case of William Fowler”, </w:t>
      </w:r>
      <w:proofErr w:type="spellStart"/>
      <w:r w:rsidRPr="00416A1D">
        <w:rPr>
          <w:rFonts w:ascii="Times New Roman" w:hAnsi="Times New Roman"/>
          <w:i/>
          <w:sz w:val="24"/>
          <w:szCs w:val="24"/>
          <w:lang w:val="en-GB"/>
        </w:rPr>
        <w:t>Storia</w:t>
      </w:r>
      <w:proofErr w:type="spellEnd"/>
      <w:r w:rsidRPr="00416A1D">
        <w:rPr>
          <w:rFonts w:ascii="Times New Roman" w:hAnsi="Times New Roman"/>
          <w:i/>
          <w:sz w:val="24"/>
          <w:szCs w:val="24"/>
          <w:lang w:val="en-GB"/>
        </w:rPr>
        <w:t xml:space="preserve"> e </w:t>
      </w:r>
      <w:proofErr w:type="spellStart"/>
      <w:r w:rsidRPr="00416A1D">
        <w:rPr>
          <w:rFonts w:ascii="Times New Roman" w:hAnsi="Times New Roman"/>
          <w:i/>
          <w:sz w:val="24"/>
          <w:szCs w:val="24"/>
          <w:lang w:val="en-GB"/>
        </w:rPr>
        <w:t>Politica</w:t>
      </w:r>
      <w:proofErr w:type="spellEnd"/>
      <w:r w:rsidRPr="00416A1D">
        <w:rPr>
          <w:rFonts w:ascii="Times New Roman" w:hAnsi="Times New Roman"/>
          <w:sz w:val="24"/>
          <w:szCs w:val="24"/>
          <w:lang w:val="en-GB"/>
        </w:rPr>
        <w:t xml:space="preserve"> 1, 2009, pp. 228-50.</w:t>
      </w:r>
    </w:p>
    <w:p w:rsidR="00E10E64" w:rsidRPr="00416A1D" w:rsidRDefault="00E10E64" w:rsidP="00E10E64">
      <w:pPr>
        <w:rPr>
          <w:rFonts w:ascii="Times New Roman" w:hAnsi="Times New Roman"/>
          <w:i/>
          <w:sz w:val="24"/>
          <w:szCs w:val="24"/>
          <w:lang w:val="en-GB"/>
        </w:rPr>
      </w:pPr>
    </w:p>
    <w:p w:rsidR="00E10E64" w:rsidRPr="002B558F" w:rsidRDefault="00E10E64" w:rsidP="00E10E64">
      <w:pPr>
        <w:pStyle w:val="Corpotesto"/>
        <w:spacing w:after="0"/>
        <w:jc w:val="both"/>
        <w:rPr>
          <w:lang w:val="en-US"/>
        </w:rPr>
      </w:pPr>
      <w:r w:rsidRPr="002B558F">
        <w:rPr>
          <w:lang w:val="en-US"/>
        </w:rPr>
        <w:t xml:space="preserve">“The Travels of Ideology: Niccolò Machiavelli at the Court of James VI”, </w:t>
      </w:r>
      <w:r w:rsidRPr="002B558F">
        <w:rPr>
          <w:i/>
          <w:lang w:val="en-US"/>
        </w:rPr>
        <w:t>Modern Language Review</w:t>
      </w:r>
      <w:r w:rsidRPr="002B558F">
        <w:rPr>
          <w:lang w:val="en-US"/>
        </w:rPr>
        <w:t xml:space="preserve"> 102 (2007), pp. 947-59.</w:t>
      </w:r>
    </w:p>
    <w:p w:rsidR="00E10E64" w:rsidRPr="002B558F" w:rsidRDefault="00E10E64" w:rsidP="00E10E64">
      <w:pPr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E64" w:rsidRDefault="00E10E64" w:rsidP="00E10E64">
      <w:pPr>
        <w:rPr>
          <w:rFonts w:ascii="Times New Roman" w:hAnsi="Times New Roman"/>
          <w:sz w:val="24"/>
          <w:szCs w:val="24"/>
          <w:lang w:val="en-US"/>
        </w:rPr>
      </w:pPr>
    </w:p>
    <w:p w:rsidR="00E10E64" w:rsidRPr="00426A74" w:rsidRDefault="00E10E64" w:rsidP="00E10E64">
      <w:pPr>
        <w:pStyle w:val="Corpotesto"/>
        <w:spacing w:after="0" w:line="200" w:lineRule="atLeast"/>
        <w:jc w:val="both"/>
        <w:rPr>
          <w:rStyle w:val="Enfasicorsivo"/>
          <w:b/>
          <w:bCs/>
          <w:i w:val="0"/>
          <w:iCs w:val="0"/>
          <w:lang w:val="en-US"/>
        </w:rPr>
      </w:pPr>
      <w:r w:rsidRPr="00426A74">
        <w:rPr>
          <w:rStyle w:val="Enfasicorsivo"/>
          <w:b/>
          <w:bCs/>
          <w:lang w:val="en-US"/>
        </w:rPr>
        <w:lastRenderedPageBreak/>
        <w:t>Peter Davidson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rStyle w:val="Enfasicorsivo"/>
          <w:i w:val="0"/>
          <w:iCs w:val="0"/>
          <w:lang w:val="en-US"/>
        </w:rPr>
      </w:pPr>
      <w:r w:rsidRPr="002B558F">
        <w:rPr>
          <w:rStyle w:val="Enfasicorsivo"/>
          <w:lang w:val="en-US"/>
        </w:rPr>
        <w:t>The Palace of Oblivion, London: Carcanet Press, 2008.</w:t>
      </w:r>
    </w:p>
    <w:p w:rsidR="00E10E64" w:rsidRPr="00416A1D" w:rsidRDefault="00E10E64" w:rsidP="00E10E64">
      <w:pPr>
        <w:pStyle w:val="Corpotesto"/>
        <w:spacing w:after="0" w:line="200" w:lineRule="atLeast"/>
        <w:jc w:val="both"/>
        <w:rPr>
          <w:lang w:val="en-GB"/>
        </w:rPr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rStyle w:val="Enfasicorsivo"/>
          <w:lang w:val="en-US"/>
        </w:rPr>
        <w:t>The Triumphs of the Defeated</w:t>
      </w:r>
      <w:r w:rsidRPr="002B558F">
        <w:rPr>
          <w:lang w:val="en-US"/>
        </w:rPr>
        <w:t xml:space="preserve"> (edited collection, with Jill Bepler), Wiesbaden: Harrasowitz Verlag for Wolfenbüttler Forschungen, 2007.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</w:p>
    <w:p w:rsidR="00E10E64" w:rsidRPr="002B558F" w:rsidRDefault="00E10E64" w:rsidP="00E10E64">
      <w:pPr>
        <w:tabs>
          <w:tab w:val="left" w:pos="0"/>
          <w:tab w:val="left" w:pos="720"/>
          <w:tab w:val="left" w:pos="1152"/>
          <w:tab w:val="left" w:pos="1440"/>
        </w:tabs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2B558F">
        <w:rPr>
          <w:rFonts w:ascii="Times New Roman" w:hAnsi="Times New Roman"/>
          <w:sz w:val="24"/>
          <w:szCs w:val="24"/>
          <w:lang w:val="en-US"/>
        </w:rPr>
        <w:t xml:space="preserve"> “Recusant Catholic Spaces in Early-Modern England” in Ronald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Corthell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Frances E. Dolan, Christopher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Highley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and Arthur F.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Marotti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>Catholic Culture in Early Modern England</w:t>
      </w:r>
      <w:r w:rsidRPr="002B558F">
        <w:rPr>
          <w:rFonts w:ascii="Times New Roman" w:hAnsi="Times New Roman"/>
          <w:sz w:val="24"/>
          <w:szCs w:val="24"/>
          <w:lang w:val="en-US"/>
        </w:rPr>
        <w:t>, Notre Dame: Notre Dame University Press, 2007, pp. 19-51.</w:t>
      </w:r>
    </w:p>
    <w:p w:rsidR="00E10E64" w:rsidRPr="002B558F" w:rsidRDefault="00E10E64" w:rsidP="00E10E64">
      <w:pPr>
        <w:tabs>
          <w:tab w:val="left" w:pos="-720"/>
        </w:tabs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E64" w:rsidRPr="002B558F" w:rsidRDefault="00E10E64" w:rsidP="00E10E64">
      <w:pPr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2B558F">
        <w:rPr>
          <w:rFonts w:ascii="Times New Roman" w:hAnsi="Times New Roman"/>
          <w:sz w:val="24"/>
          <w:szCs w:val="24"/>
          <w:lang w:val="en-US"/>
        </w:rPr>
        <w:t xml:space="preserve">“The Jesuit Creation” in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Havsteen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Petersen, Schwab and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Østrem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>Creations</w:t>
      </w:r>
      <w:r w:rsidRPr="002B558F">
        <w:rPr>
          <w:rFonts w:ascii="Times New Roman" w:hAnsi="Times New Roman"/>
          <w:sz w:val="24"/>
          <w:szCs w:val="24"/>
          <w:lang w:val="en-US"/>
        </w:rPr>
        <w:t>,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Turnhout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Brepols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>, 2007, pp.185-96.</w:t>
      </w:r>
    </w:p>
    <w:p w:rsidR="00E10E64" w:rsidRPr="002B558F" w:rsidRDefault="00E10E64" w:rsidP="00E10E64">
      <w:pPr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E64" w:rsidRPr="002B558F" w:rsidRDefault="00E10E64" w:rsidP="00E10E64">
      <w:pPr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2B558F">
        <w:rPr>
          <w:rFonts w:ascii="Times New Roman" w:hAnsi="Times New Roman"/>
          <w:sz w:val="24"/>
          <w:szCs w:val="24"/>
          <w:lang w:val="en-US"/>
        </w:rPr>
        <w:t xml:space="preserve">(with T.M.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McCoog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SJ)  “Edmund Campion and William Shakespeare: Much ado about nothing” in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Mc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Coog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ed., 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>The Reckoned Expense</w:t>
      </w:r>
      <w:r w:rsidRPr="002B558F">
        <w:rPr>
          <w:rFonts w:ascii="Times New Roman" w:hAnsi="Times New Roman"/>
          <w:sz w:val="24"/>
          <w:szCs w:val="24"/>
          <w:lang w:val="en-US"/>
        </w:rPr>
        <w:t xml:space="preserve">, Roma: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Biblioteca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Instituti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historica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SJ, 2007, pp. 165-86. </w:t>
      </w:r>
    </w:p>
    <w:p w:rsidR="00E10E64" w:rsidRPr="002B558F" w:rsidRDefault="00E10E64" w:rsidP="00E10E64">
      <w:pPr>
        <w:spacing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E64" w:rsidRPr="002B558F" w:rsidRDefault="00E10E64" w:rsidP="00E10E64">
      <w:pPr>
        <w:pStyle w:val="Rientrocorpodeltesto21"/>
        <w:spacing w:line="200" w:lineRule="atLeast"/>
        <w:ind w:left="0" w:firstLine="0"/>
      </w:pPr>
      <w:r w:rsidRPr="002B558F">
        <w:t xml:space="preserve">(with T.M. </w:t>
      </w:r>
      <w:proofErr w:type="spellStart"/>
      <w:r w:rsidRPr="002B558F">
        <w:t>McCoog</w:t>
      </w:r>
      <w:proofErr w:type="spellEnd"/>
      <w:r w:rsidRPr="002B558F">
        <w:t xml:space="preserve"> SJ) “</w:t>
      </w:r>
      <w:proofErr w:type="spellStart"/>
      <w:r w:rsidRPr="002B558F">
        <w:t>Unreconciled</w:t>
      </w:r>
      <w:proofErr w:type="spellEnd"/>
      <w:r w:rsidRPr="002B558F">
        <w:t xml:space="preserve">: what evidence links Shakespeare and the Jesuits?”, </w:t>
      </w:r>
      <w:r w:rsidRPr="002B558F">
        <w:rPr>
          <w:i/>
          <w:iCs/>
        </w:rPr>
        <w:t>Times Literary Supplement</w:t>
      </w:r>
      <w:r w:rsidRPr="002B558F">
        <w:t>, 16 March, 2007.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b/>
          <w:bCs/>
          <w:lang w:val="en-US"/>
        </w:rPr>
      </w:pPr>
      <w:r w:rsidRPr="002B558F">
        <w:rPr>
          <w:b/>
          <w:bCs/>
          <w:lang w:val="en-US"/>
        </w:rPr>
        <w:t>Davide del Bello</w:t>
      </w:r>
      <w:bookmarkStart w:id="0" w:name="onepersonale1"/>
      <w:bookmarkStart w:id="1" w:name="splitpersonale1"/>
      <w:bookmarkEnd w:id="0"/>
      <w:bookmarkEnd w:id="1"/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lang w:val="en-US"/>
        </w:rPr>
        <w:t xml:space="preserve">“An Isle Full of Noises: the Mystifying Experiment of Shakespeare’s </w:t>
      </w:r>
      <w:r w:rsidRPr="002B558F">
        <w:rPr>
          <w:rStyle w:val="Enfasicorsivo"/>
          <w:lang w:val="en-US"/>
        </w:rPr>
        <w:t>Tempest</w:t>
      </w:r>
      <w:r w:rsidRPr="002B558F">
        <w:rPr>
          <w:lang w:val="en-US"/>
        </w:rPr>
        <w:t xml:space="preserve">”, in A. Marzola, ed., </w:t>
      </w:r>
      <w:r w:rsidRPr="002B558F">
        <w:rPr>
          <w:rStyle w:val="Enfasicorsivo"/>
          <w:lang w:val="en-US"/>
        </w:rPr>
        <w:t>The Difference of Shakespeare</w:t>
      </w:r>
      <w:r w:rsidRPr="002B558F">
        <w:rPr>
          <w:lang w:val="en-US"/>
        </w:rPr>
        <w:t>, Bergamo: Sestante, 2008.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rStyle w:val="Enfasicorsivo"/>
          <w:i w:val="0"/>
          <w:iCs w:val="0"/>
          <w:lang w:val="en-US"/>
        </w:rPr>
      </w:pPr>
      <w:r w:rsidRPr="002B558F">
        <w:rPr>
          <w:rStyle w:val="Enfasicorsivo"/>
          <w:lang w:val="en-US"/>
        </w:rPr>
        <w:t>Forgotten Paths: Etymology and the Allegorical Mindset. Washington DC: Catholic University of America Press, 2007.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</w:p>
    <w:p w:rsidR="00E10E64" w:rsidRPr="00416A1D" w:rsidRDefault="00E10E64" w:rsidP="00E10E64">
      <w:pPr>
        <w:pStyle w:val="Corpotesto"/>
        <w:spacing w:after="0" w:line="200" w:lineRule="atLeast"/>
        <w:jc w:val="both"/>
        <w:rPr>
          <w:b/>
          <w:bCs/>
          <w:lang w:val="en-GB"/>
        </w:rPr>
      </w:pPr>
      <w:r w:rsidRPr="00416A1D">
        <w:rPr>
          <w:b/>
          <w:bCs/>
          <w:lang w:val="en-GB"/>
        </w:rPr>
        <w:t>Giovanni Iamartino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lang w:val="en-US"/>
        </w:rPr>
        <w:t xml:space="preserve">(with John Considine, eds), </w:t>
      </w:r>
      <w:r w:rsidRPr="002B558F">
        <w:rPr>
          <w:i/>
          <w:iCs/>
          <w:lang w:val="en-US"/>
        </w:rPr>
        <w:t>Words and Dictionaries from the British Isles in Historical Perspective</w:t>
      </w:r>
      <w:r w:rsidRPr="002B558F">
        <w:rPr>
          <w:lang w:val="en-US"/>
        </w:rPr>
        <w:t>, Newcastle: Cambridge Scholars Publishing, 2007.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b/>
          <w:bCs/>
        </w:rPr>
      </w:pPr>
      <w:r w:rsidRPr="002B558F">
        <w:rPr>
          <w:b/>
          <w:bCs/>
        </w:rPr>
        <w:t>Giuliana Iannaccaro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</w:pPr>
      <w:r w:rsidRPr="002B558F">
        <w:t xml:space="preserve"> “Il corpo e la voce. Una profetessa nell’Inghilterra rivoluzionaria”, in A. Cagnolati, ed., </w:t>
      </w:r>
      <w:r w:rsidRPr="002B558F">
        <w:rPr>
          <w:rStyle w:val="Enfasicorsivo"/>
        </w:rPr>
        <w:t>Tra negazione e soggettività. Per una rilettura del corpo femminile nella storia dell’educazione</w:t>
      </w:r>
      <w:r w:rsidRPr="002B558F">
        <w:t>, Milano: Guerini e Associati, 2007, pp. 137-49.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b/>
          <w:bCs/>
          <w:lang w:val="en-US"/>
        </w:rPr>
      </w:pPr>
      <w:r w:rsidRPr="002B558F">
        <w:rPr>
          <w:b/>
          <w:bCs/>
          <w:lang w:val="en-US"/>
        </w:rPr>
        <w:t>Peter Mack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lang w:val="en-US"/>
        </w:rPr>
        <w:t xml:space="preserve">“Vives’s Contributions to Rhetoric and Dialectic”, in C. Fantazzi, ed., </w:t>
      </w:r>
      <w:r w:rsidRPr="002B558F">
        <w:rPr>
          <w:i/>
          <w:iCs/>
          <w:lang w:val="en-US"/>
        </w:rPr>
        <w:t>A Companion to Juan Luis Vives</w:t>
      </w:r>
      <w:r w:rsidRPr="002B558F">
        <w:rPr>
          <w:lang w:val="en-US"/>
        </w:rPr>
        <w:t>, Leiden: Brill, 2008, pp. 221-76.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lang w:val="en-US"/>
        </w:rPr>
        <w:br/>
        <w:t xml:space="preserve">“Rhetoric and Politics in the Elizabethan Parliament”, in J. Feuchter, J. Helmrath, eds, </w:t>
      </w:r>
      <w:r w:rsidRPr="002B558F">
        <w:rPr>
          <w:i/>
          <w:iCs/>
          <w:lang w:val="en-US"/>
        </w:rPr>
        <w:t>Politische Redekultur in der Vormoderne</w:t>
      </w:r>
      <w:r w:rsidRPr="002B558F">
        <w:rPr>
          <w:lang w:val="en-US"/>
        </w:rPr>
        <w:t>, Frankfurt, 2008), pp. 173-87.</w:t>
      </w:r>
    </w:p>
    <w:p w:rsidR="00E10E64" w:rsidRPr="00416A1D" w:rsidRDefault="00E10E64" w:rsidP="00E10E64">
      <w:pPr>
        <w:pStyle w:val="Corpotesto"/>
        <w:spacing w:after="0" w:line="200" w:lineRule="atLeast"/>
        <w:jc w:val="both"/>
        <w:rPr>
          <w:lang w:val="en-GB"/>
        </w:rPr>
      </w:pPr>
    </w:p>
    <w:p w:rsidR="00E10E64" w:rsidRPr="00672B35" w:rsidRDefault="00E10E64" w:rsidP="00E10E64">
      <w:pPr>
        <w:pStyle w:val="Corpotesto"/>
        <w:spacing w:after="0" w:line="200" w:lineRule="atLeast"/>
        <w:jc w:val="both"/>
      </w:pPr>
      <w:r w:rsidRPr="00672B35">
        <w:rPr>
          <w:b/>
          <w:bCs/>
        </w:rPr>
        <w:t>Donatella Montini</w:t>
      </w:r>
      <w:r w:rsidRPr="00672B35">
        <w:t xml:space="preserve"> 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rStyle w:val="Enfasicorsivo"/>
        </w:rPr>
      </w:pPr>
      <w:r w:rsidRPr="002B558F">
        <w:rPr>
          <w:rStyle w:val="grame"/>
        </w:rPr>
        <w:t xml:space="preserve"> (a</w:t>
      </w:r>
      <w:r w:rsidRPr="002B558F">
        <w:t xml:space="preserve"> cura di) </w:t>
      </w:r>
      <w:r w:rsidRPr="002B558F">
        <w:rPr>
          <w:i/>
          <w:iCs/>
        </w:rPr>
        <w:t xml:space="preserve">Visione politica e strategie linguistiche, </w:t>
      </w:r>
      <w:r w:rsidRPr="002B558F">
        <w:rPr>
          <w:rStyle w:val="spelle"/>
        </w:rPr>
        <w:t>Soveria</w:t>
      </w:r>
      <w:r w:rsidRPr="002B558F">
        <w:t xml:space="preserve"> Mannelli, </w:t>
      </w:r>
      <w:r w:rsidRPr="002B558F">
        <w:rPr>
          <w:rStyle w:val="spelle"/>
        </w:rPr>
        <w:t>Rubbettino</w:t>
      </w:r>
      <w:r w:rsidRPr="002B558F">
        <w:t>, 2010.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color w:val="000000"/>
        </w:rPr>
      </w:pPr>
      <w:r w:rsidRPr="002B558F">
        <w:rPr>
          <w:color w:val="000000"/>
        </w:rPr>
        <w:t xml:space="preserve">“John/Giovanni: Florio ‘mezzano e intercessore’ della lingua italiana”, in </w:t>
      </w:r>
      <w:r w:rsidRPr="002B558F">
        <w:rPr>
          <w:i/>
          <w:color w:val="000000"/>
        </w:rPr>
        <w:t xml:space="preserve">Memoria di Shakespeare, VI, </w:t>
      </w:r>
      <w:r w:rsidRPr="002B558F">
        <w:rPr>
          <w:color w:val="000000"/>
        </w:rPr>
        <w:t>Roma, Bulzoni, 2008, pp.47-57.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color w:val="000000"/>
        </w:rPr>
      </w:pPr>
    </w:p>
    <w:p w:rsidR="00E10E64" w:rsidRPr="00E10E64" w:rsidRDefault="00E10E64" w:rsidP="00E10E64">
      <w:pPr>
        <w:pStyle w:val="Corpotesto"/>
        <w:spacing w:after="0" w:line="200" w:lineRule="atLeast"/>
        <w:jc w:val="both"/>
        <w:rPr>
          <w:rStyle w:val="Enfasicorsivo"/>
          <w:b/>
          <w:bCs/>
          <w:i w:val="0"/>
          <w:iCs w:val="0"/>
          <w:lang w:val="en-US"/>
        </w:rPr>
      </w:pPr>
      <w:r w:rsidRPr="00E10E64">
        <w:rPr>
          <w:rStyle w:val="Enfasicorsivo"/>
          <w:b/>
          <w:bCs/>
          <w:lang w:val="en-US"/>
        </w:rPr>
        <w:t>Merio Scattola</w:t>
      </w:r>
    </w:p>
    <w:p w:rsidR="00E10E64" w:rsidRPr="002B558F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en-US"/>
        </w:rPr>
      </w:pPr>
      <w:r w:rsidRPr="002B558F">
        <w:rPr>
          <w:rFonts w:ascii="Times New Roman" w:hAnsi="Times New Roman"/>
          <w:sz w:val="24"/>
          <w:szCs w:val="24"/>
          <w:lang w:val="de-DE"/>
        </w:rPr>
        <w:t xml:space="preserve">«Die Geburt des katholischen Natur- und Völkerrechts aus dem Geist des Protestantismus im 19. Jahrhundert», in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Pascale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Cancik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, Thomas Henne, Thomas Simon, Stefan Ruppert und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Miloš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Vec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cur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.), </w:t>
      </w:r>
      <w:r w:rsidRPr="002B558F">
        <w:rPr>
          <w:rFonts w:ascii="Times New Roman" w:hAnsi="Times New Roman"/>
          <w:i/>
          <w:sz w:val="24"/>
          <w:szCs w:val="24"/>
          <w:lang w:val="de-DE"/>
        </w:rPr>
        <w:t xml:space="preserve">Konfession und Recht. Auf der Suche nach konfessionell geprägten Denkmustern und Argumentationsstrategien in Recht und Rechtswissenschaft des 19. und 20. </w:t>
      </w:r>
      <w:proofErr w:type="spellStart"/>
      <w:r w:rsidRPr="002B558F">
        <w:rPr>
          <w:rFonts w:ascii="Times New Roman" w:hAnsi="Times New Roman"/>
          <w:i/>
          <w:sz w:val="24"/>
          <w:szCs w:val="24"/>
          <w:lang w:val="en-US"/>
        </w:rPr>
        <w:t>Jahrhunderts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, Frankfurt am Main, Vittorio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Klostermann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>, 2009, pp. 95–120.</w:t>
      </w:r>
    </w:p>
    <w:p w:rsidR="00E10E64" w:rsidRPr="00416A1D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en-GB"/>
        </w:rPr>
      </w:pPr>
    </w:p>
    <w:p w:rsidR="00E10E64" w:rsidRPr="002B558F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de-DE"/>
        </w:rPr>
      </w:pPr>
      <w:r w:rsidRPr="002B558F">
        <w:rPr>
          <w:rFonts w:ascii="Times New Roman" w:hAnsi="Times New Roman"/>
          <w:sz w:val="24"/>
          <w:szCs w:val="24"/>
          <w:lang w:val="en-US"/>
        </w:rPr>
        <w:t xml:space="preserve">«Law, War and Method in the 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>Commentary on the Law of Prize</w:t>
      </w:r>
      <w:r w:rsidRPr="002B558F">
        <w:rPr>
          <w:rFonts w:ascii="Times New Roman" w:hAnsi="Times New Roman"/>
          <w:sz w:val="24"/>
          <w:szCs w:val="24"/>
          <w:lang w:val="en-US"/>
        </w:rPr>
        <w:t xml:space="preserve"> by Hugo Grotius», in Hans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Blom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(cur.), 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 xml:space="preserve">Property, Piracy and Punishment. Hugo Grotius on War and Booty in </w:t>
      </w:r>
      <w:r w:rsidRPr="002B558F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iure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en-US"/>
        </w:rPr>
        <w:t>praedae</w:t>
      </w:r>
      <w:proofErr w:type="spellEnd"/>
      <w:r w:rsidRPr="002B55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558F">
        <w:rPr>
          <w:rFonts w:ascii="Times New Roman" w:hAnsi="Times New Roman"/>
          <w:i/>
          <w:sz w:val="24"/>
          <w:szCs w:val="24"/>
          <w:lang w:val="en-US"/>
        </w:rPr>
        <w:t>– Concepts and Contexts</w:t>
      </w:r>
      <w:r w:rsidRPr="002B558F">
        <w:rPr>
          <w:rFonts w:ascii="Times New Roman" w:hAnsi="Times New Roman"/>
          <w:sz w:val="24"/>
          <w:szCs w:val="24"/>
          <w:lang w:val="en-US"/>
        </w:rPr>
        <w:t>, Leiden and Boston, Brill, 2009, pp. 79–103</w:t>
      </w:r>
      <w:r w:rsidRPr="002B558F">
        <w:rPr>
          <w:rFonts w:ascii="Times New Roman" w:hAnsi="Times New Roman"/>
          <w:sz w:val="24"/>
          <w:szCs w:val="24"/>
          <w:lang w:val="de-DE"/>
        </w:rPr>
        <w:t>.</w:t>
      </w:r>
    </w:p>
    <w:p w:rsidR="00E10E64" w:rsidRPr="00416A1D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en-GB"/>
        </w:rPr>
      </w:pPr>
    </w:p>
    <w:p w:rsidR="00E10E64" w:rsidRPr="002B558F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de-DE"/>
        </w:rPr>
      </w:pPr>
      <w:r w:rsidRPr="002B558F">
        <w:rPr>
          <w:rFonts w:ascii="Times New Roman" w:hAnsi="Times New Roman"/>
          <w:sz w:val="24"/>
          <w:szCs w:val="24"/>
          <w:lang w:val="de-DE"/>
        </w:rPr>
        <w:t xml:space="preserve">«Demokratievorstellungen in der Frühen Neuzeit», in </w:t>
      </w:r>
      <w:r w:rsidRPr="002B558F">
        <w:rPr>
          <w:rFonts w:ascii="Times New Roman" w:hAnsi="Times New Roman"/>
          <w:i/>
          <w:sz w:val="24"/>
          <w:szCs w:val="24"/>
          <w:lang w:val="de-DE"/>
        </w:rPr>
        <w:t>Rechtsgeschichte. Zeitschrift des Max-Plancks-Instituts für europäische Rechtsgeschichte</w:t>
      </w:r>
      <w:r w:rsidRPr="002B558F">
        <w:rPr>
          <w:rFonts w:ascii="Times New Roman" w:hAnsi="Times New Roman"/>
          <w:sz w:val="24"/>
          <w:szCs w:val="24"/>
          <w:lang w:val="de-DE"/>
        </w:rPr>
        <w:t>, 15, 2009, pp. 77–96.</w:t>
      </w:r>
    </w:p>
    <w:p w:rsidR="00E10E64" w:rsidRPr="00416A1D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en-GB"/>
        </w:rPr>
      </w:pPr>
    </w:p>
    <w:p w:rsidR="00E10E64" w:rsidRPr="002B558F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de-DE"/>
        </w:rPr>
      </w:pPr>
      <w:r w:rsidRPr="002B558F">
        <w:rPr>
          <w:rFonts w:ascii="Times New Roman" w:hAnsi="Times New Roman"/>
          <w:sz w:val="24"/>
          <w:szCs w:val="24"/>
          <w:lang w:val="de-DE"/>
        </w:rPr>
        <w:t xml:space="preserve">«Henning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Arnisaeus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Iohannes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Althusius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 und die Grundlagen der politischen Ordnung», in Reinhard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Blänkner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cur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 xml:space="preserve">.), </w:t>
      </w:r>
      <w:r w:rsidRPr="002B558F">
        <w:rPr>
          <w:rFonts w:ascii="Times New Roman" w:hAnsi="Times New Roman"/>
          <w:i/>
          <w:sz w:val="24"/>
          <w:szCs w:val="24"/>
          <w:lang w:val="de-DE"/>
        </w:rPr>
        <w:t xml:space="preserve">Europäische Bildungsströme. Die </w:t>
      </w:r>
      <w:proofErr w:type="spellStart"/>
      <w:r w:rsidRPr="002B558F">
        <w:rPr>
          <w:rFonts w:ascii="Times New Roman" w:hAnsi="Times New Roman"/>
          <w:i/>
          <w:sz w:val="24"/>
          <w:szCs w:val="24"/>
          <w:lang w:val="de-DE"/>
        </w:rPr>
        <w:t>Viadrina</w:t>
      </w:r>
      <w:proofErr w:type="spellEnd"/>
      <w:r w:rsidRPr="002B558F">
        <w:rPr>
          <w:rFonts w:ascii="Times New Roman" w:hAnsi="Times New Roman"/>
          <w:i/>
          <w:sz w:val="24"/>
          <w:szCs w:val="24"/>
          <w:lang w:val="de-DE"/>
        </w:rPr>
        <w:t xml:space="preserve"> im Kontext der europäischen Gelehrtenrepublik der Frühen Neuzeit (1506–1811)</w:t>
      </w:r>
      <w:r w:rsidRPr="002B558F">
        <w:rPr>
          <w:rFonts w:ascii="Times New Roman" w:hAnsi="Times New Roman"/>
          <w:sz w:val="24"/>
          <w:szCs w:val="24"/>
          <w:lang w:val="de-DE"/>
        </w:rPr>
        <w:t xml:space="preserve">, Schöneiche bei Berlin, </w:t>
      </w:r>
      <w:proofErr w:type="spellStart"/>
      <w:r w:rsidRPr="002B558F">
        <w:rPr>
          <w:rFonts w:ascii="Times New Roman" w:hAnsi="Times New Roman"/>
          <w:sz w:val="24"/>
          <w:szCs w:val="24"/>
          <w:lang w:val="de-DE"/>
        </w:rPr>
        <w:t>Scripvaz</w:t>
      </w:r>
      <w:proofErr w:type="spellEnd"/>
      <w:r w:rsidRPr="002B558F">
        <w:rPr>
          <w:rFonts w:ascii="Times New Roman" w:hAnsi="Times New Roman"/>
          <w:sz w:val="24"/>
          <w:szCs w:val="24"/>
          <w:lang w:val="de-DE"/>
        </w:rPr>
        <w:t>-Verlag Christoph Krauskopf, 2008, pp. 79–119.</w:t>
      </w:r>
    </w:p>
    <w:p w:rsidR="00E10E64" w:rsidRPr="002B558F" w:rsidRDefault="00E10E64" w:rsidP="00E10E64">
      <w:pPr>
        <w:spacing w:line="200" w:lineRule="atLeast"/>
        <w:rPr>
          <w:rFonts w:ascii="Times New Roman" w:hAnsi="Times New Roman"/>
          <w:sz w:val="24"/>
          <w:szCs w:val="24"/>
          <w:lang w:val="de-DE"/>
        </w:rPr>
      </w:pPr>
    </w:p>
    <w:p w:rsidR="00E10E64" w:rsidRPr="00416A1D" w:rsidRDefault="00E10E64" w:rsidP="00E10E64">
      <w:pPr>
        <w:pStyle w:val="Corpotesto"/>
        <w:spacing w:after="0" w:line="200" w:lineRule="atLeast"/>
        <w:jc w:val="both"/>
        <w:rPr>
          <w:lang w:val="fr-FR"/>
        </w:rPr>
      </w:pPr>
      <w:r w:rsidRPr="00416A1D">
        <w:rPr>
          <w:lang w:val="fr-FR"/>
        </w:rPr>
        <w:t xml:space="preserve">“Von der Politik zum Naturrecht. Die Entwicklung des allgemeinen Staatsrechts aus der </w:t>
      </w:r>
      <w:r w:rsidRPr="00416A1D">
        <w:rPr>
          <w:rStyle w:val="Enfasicorsivo"/>
          <w:lang w:val="fr-FR"/>
        </w:rPr>
        <w:t>politica architectonica</w:t>
      </w:r>
      <w:r w:rsidRPr="00416A1D">
        <w:rPr>
          <w:lang w:val="fr-FR"/>
        </w:rPr>
        <w:t xml:space="preserve">”, in Jacques Krynen and Michael Stolleis, eds, </w:t>
      </w:r>
      <w:r w:rsidRPr="00416A1D">
        <w:rPr>
          <w:rStyle w:val="Enfasicorsivo"/>
          <w:lang w:val="fr-FR"/>
        </w:rPr>
        <w:t>Science politique et droit public dans les facultés de droit européennes</w:t>
      </w:r>
      <w:r w:rsidRPr="00416A1D">
        <w:rPr>
          <w:lang w:val="fr-FR"/>
        </w:rPr>
        <w:t xml:space="preserve"> (XIIIe–XVIIIe siècle), Frankfurt am Main: Vittorio Klostermann, 2008, pp. 411-43.</w:t>
      </w:r>
    </w:p>
    <w:p w:rsidR="00E10E64" w:rsidRPr="00416A1D" w:rsidRDefault="00E10E64" w:rsidP="00E10E64">
      <w:pPr>
        <w:pStyle w:val="Corpotesto"/>
        <w:spacing w:after="0" w:line="200" w:lineRule="atLeast"/>
        <w:jc w:val="both"/>
        <w:rPr>
          <w:lang w:val="fr-FR"/>
        </w:rPr>
      </w:pPr>
    </w:p>
    <w:p w:rsidR="00E10E64" w:rsidRPr="002B558F" w:rsidRDefault="00E10E64" w:rsidP="00E10E64">
      <w:pPr>
        <w:pStyle w:val="Corpotesto"/>
        <w:spacing w:after="0" w:line="200" w:lineRule="atLeast"/>
        <w:jc w:val="both"/>
      </w:pPr>
      <w:r w:rsidRPr="002B558F">
        <w:rPr>
          <w:rStyle w:val="Enfasicorsivo"/>
        </w:rPr>
        <w:t>Teologia politica</w:t>
      </w:r>
      <w:r w:rsidRPr="002B558F">
        <w:t>, Bologna, Il Mulino, 2007.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lang w:val="en-US"/>
        </w:rPr>
        <w:t xml:space="preserve">“Dialectics, topology and philosophy in early modern times”, in Marcelo Dascal and Han-liang Chang, eds, </w:t>
      </w:r>
      <w:r w:rsidRPr="002B558F">
        <w:rPr>
          <w:rStyle w:val="Enfasicorsivo"/>
          <w:lang w:val="en-US"/>
        </w:rPr>
        <w:t>Traditions of Controversy</w:t>
      </w:r>
      <w:r w:rsidRPr="002B558F">
        <w:rPr>
          <w:lang w:val="en-US"/>
        </w:rPr>
        <w:t>, Amsterdam: John Benjamins, 2007, pp. 181-206.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416A1D">
        <w:rPr>
          <w:lang w:val="en-GB"/>
        </w:rPr>
        <w:t xml:space="preserve"> </w:t>
      </w:r>
      <w:r w:rsidRPr="00E10E64">
        <w:t xml:space="preserve">“Historia literaria als historia pragmatica. </w:t>
      </w:r>
      <w:r w:rsidRPr="00416A1D">
        <w:rPr>
          <w:lang w:val="en-GB"/>
        </w:rPr>
        <w:t xml:space="preserve">Die pragmatische Bedeutung der Geschichtsschreibung im intellektuellen Unternehmen der Gelehrtengeschichte”, in Frank Grunert and Friedrich Vollhardt, eds, </w:t>
      </w:r>
      <w:r w:rsidRPr="00416A1D">
        <w:rPr>
          <w:rStyle w:val="Enfasicorsivo"/>
          <w:lang w:val="en-GB"/>
        </w:rPr>
        <w:t xml:space="preserve">Historia literaria. </w:t>
      </w:r>
      <w:r w:rsidRPr="002B558F">
        <w:rPr>
          <w:rStyle w:val="Enfasicorsivo"/>
          <w:lang w:val="en-US"/>
        </w:rPr>
        <w:t>Neuordnungen des Wissens im 17. und 18. Jahrhundert</w:t>
      </w:r>
      <w:r w:rsidRPr="002B558F">
        <w:rPr>
          <w:lang w:val="en-US"/>
        </w:rPr>
        <w:t>, Berlin: Akademie Verlag, 2007, pp. 37-63.</w:t>
      </w:r>
    </w:p>
    <w:p w:rsidR="00E10E64" w:rsidRPr="002B558F" w:rsidRDefault="00E10E64" w:rsidP="00E10E64">
      <w:pPr>
        <w:pStyle w:val="Corpotesto"/>
        <w:spacing w:after="0" w:line="200" w:lineRule="atLeast"/>
        <w:jc w:val="both"/>
        <w:rPr>
          <w:lang w:val="en-US"/>
        </w:rPr>
      </w:pPr>
      <w:r w:rsidRPr="002B558F">
        <w:rPr>
          <w:lang w:val="en-US"/>
        </w:rPr>
        <w:br/>
        <w:t xml:space="preserve">“Sklaverei, Krieg und Recht. Die Vorlesung über die </w:t>
      </w:r>
      <w:r w:rsidRPr="002B558F">
        <w:rPr>
          <w:rStyle w:val="Enfasicorsivo"/>
          <w:lang w:val="en-US"/>
        </w:rPr>
        <w:t>Regula „Peccatum“</w:t>
      </w:r>
      <w:r w:rsidRPr="002B558F">
        <w:rPr>
          <w:lang w:val="en-US"/>
        </w:rPr>
        <w:t xml:space="preserve"> von Diego de Covarrubias y Leyva”, in Matthias Kaufmann and Robert Schnepf, eds, </w:t>
      </w:r>
      <w:r w:rsidRPr="002B558F">
        <w:rPr>
          <w:rStyle w:val="Enfasicorsivo"/>
          <w:lang w:val="en-US"/>
        </w:rPr>
        <w:t>Politische Metaphysik. Die Entstehung moderner Rechtskonzeptionen in der Spanischen Scholastik</w:t>
      </w:r>
      <w:r w:rsidRPr="002B558F">
        <w:rPr>
          <w:lang w:val="en-US"/>
        </w:rPr>
        <w:t>, Frankfurt am Main: Peter Lang, 2007, pp. 303-55.</w:t>
      </w:r>
    </w:p>
    <w:p w:rsidR="00085B4C" w:rsidRPr="00E10E64" w:rsidRDefault="00085B4C">
      <w:pPr>
        <w:rPr>
          <w:lang w:val="en-US"/>
        </w:rPr>
      </w:pPr>
      <w:bookmarkStart w:id="2" w:name="_GoBack"/>
      <w:bookmarkEnd w:id="2"/>
    </w:p>
    <w:sectPr w:rsidR="00085B4C" w:rsidRPr="00E10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64"/>
    <w:rsid w:val="00085B4C"/>
    <w:rsid w:val="00E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10E6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E64"/>
    <w:rPr>
      <w:rFonts w:ascii="Times New Roman" w:eastAsia="Lucida Sans Unicode" w:hAnsi="Times New Roman" w:cs="Times New Roman"/>
      <w:noProof/>
      <w:sz w:val="24"/>
      <w:szCs w:val="24"/>
      <w:lang w:eastAsia="it-IT"/>
    </w:rPr>
  </w:style>
  <w:style w:type="character" w:styleId="Enfasicorsivo">
    <w:name w:val="Emphasis"/>
    <w:uiPriority w:val="20"/>
    <w:qFormat/>
    <w:rsid w:val="00E10E64"/>
    <w:rPr>
      <w:i/>
      <w:iCs/>
    </w:rPr>
  </w:style>
  <w:style w:type="paragraph" w:customStyle="1" w:styleId="Rientrocorpodeltesto21">
    <w:name w:val="Rientro corpo del testo 21"/>
    <w:basedOn w:val="Normale"/>
    <w:rsid w:val="00E10E64"/>
    <w:pPr>
      <w:widowControl w:val="0"/>
      <w:tabs>
        <w:tab w:val="left" w:pos="4464"/>
        <w:tab w:val="left" w:pos="5184"/>
        <w:tab w:val="left" w:pos="5616"/>
        <w:tab w:val="left" w:pos="5904"/>
      </w:tabs>
      <w:suppressAutoHyphens/>
      <w:spacing w:after="0" w:line="240" w:lineRule="auto"/>
      <w:ind w:left="432" w:hanging="432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customStyle="1" w:styleId="grame">
    <w:name w:val="grame"/>
    <w:rsid w:val="00E10E64"/>
  </w:style>
  <w:style w:type="character" w:customStyle="1" w:styleId="spelle">
    <w:name w:val="spelle"/>
    <w:rsid w:val="00E10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10E6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E64"/>
    <w:rPr>
      <w:rFonts w:ascii="Times New Roman" w:eastAsia="Lucida Sans Unicode" w:hAnsi="Times New Roman" w:cs="Times New Roman"/>
      <w:noProof/>
      <w:sz w:val="24"/>
      <w:szCs w:val="24"/>
      <w:lang w:eastAsia="it-IT"/>
    </w:rPr>
  </w:style>
  <w:style w:type="character" w:styleId="Enfasicorsivo">
    <w:name w:val="Emphasis"/>
    <w:uiPriority w:val="20"/>
    <w:qFormat/>
    <w:rsid w:val="00E10E64"/>
    <w:rPr>
      <w:i/>
      <w:iCs/>
    </w:rPr>
  </w:style>
  <w:style w:type="paragraph" w:customStyle="1" w:styleId="Rientrocorpodeltesto21">
    <w:name w:val="Rientro corpo del testo 21"/>
    <w:basedOn w:val="Normale"/>
    <w:rsid w:val="00E10E64"/>
    <w:pPr>
      <w:widowControl w:val="0"/>
      <w:tabs>
        <w:tab w:val="left" w:pos="4464"/>
        <w:tab w:val="left" w:pos="5184"/>
        <w:tab w:val="left" w:pos="5616"/>
        <w:tab w:val="left" w:pos="5904"/>
      </w:tabs>
      <w:suppressAutoHyphens/>
      <w:spacing w:after="0" w:line="240" w:lineRule="auto"/>
      <w:ind w:left="432" w:hanging="432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customStyle="1" w:styleId="grame">
    <w:name w:val="grame"/>
    <w:rsid w:val="00E10E64"/>
  </w:style>
  <w:style w:type="character" w:customStyle="1" w:styleId="spelle">
    <w:name w:val="spelle"/>
    <w:rsid w:val="00E1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1</cp:revision>
  <dcterms:created xsi:type="dcterms:W3CDTF">2015-02-18T11:25:00Z</dcterms:created>
  <dcterms:modified xsi:type="dcterms:W3CDTF">2015-02-18T11:26:00Z</dcterms:modified>
</cp:coreProperties>
</file>